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28443" w14:textId="13632D8E" w:rsidR="005A1C3F" w:rsidRDefault="005A1C3F" w:rsidP="007272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0B6CD6F" wp14:editId="5ED74E11">
            <wp:simplePos x="0" y="0"/>
            <wp:positionH relativeFrom="column">
              <wp:posOffset>6057900</wp:posOffset>
            </wp:positionH>
            <wp:positionV relativeFrom="paragraph">
              <wp:posOffset>0</wp:posOffset>
            </wp:positionV>
            <wp:extent cx="642620" cy="901065"/>
            <wp:effectExtent l="0" t="0" r="5080" b="0"/>
            <wp:wrapThrough wrapText="bothSides">
              <wp:wrapPolygon edited="0">
                <wp:start x="0" y="0"/>
                <wp:lineTo x="0" y="21006"/>
                <wp:lineTo x="21130" y="21006"/>
                <wp:lineTo x="21130" y="0"/>
                <wp:lineTo x="0" y="0"/>
              </wp:wrapPolygon>
            </wp:wrapThrough>
            <wp:docPr id="226342106" name="Picture 5" descr="Logo, company nam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BCA5341-2C97-41E7-B42B-5219D70C45F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342106" name="Picture 5" descr="Logo, company name&#10;&#10;Description automatically generated">
                      <a:extLst>
                        <a:ext uri="{FF2B5EF4-FFF2-40B4-BE49-F238E27FC236}">
                          <a16:creationId xmlns:a16="http://schemas.microsoft.com/office/drawing/2014/main" id="{BBCA5341-2C97-41E7-B42B-5219D70C45F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BEBC667" wp14:editId="391FCD48">
            <wp:simplePos x="0" y="0"/>
            <wp:positionH relativeFrom="column">
              <wp:posOffset>4610100</wp:posOffset>
            </wp:positionH>
            <wp:positionV relativeFrom="paragraph">
              <wp:posOffset>0</wp:posOffset>
            </wp:positionV>
            <wp:extent cx="1128395" cy="548640"/>
            <wp:effectExtent l="0" t="0" r="0" b="3810"/>
            <wp:wrapThrough wrapText="bothSides">
              <wp:wrapPolygon edited="0">
                <wp:start x="0" y="0"/>
                <wp:lineTo x="0" y="21000"/>
                <wp:lineTo x="21150" y="21000"/>
                <wp:lineTo x="21150" y="0"/>
                <wp:lineTo x="0" y="0"/>
              </wp:wrapPolygon>
            </wp:wrapThrough>
            <wp:docPr id="869445857" name="Picture 6" descr="A logo with a red and blue desig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97CAD6E-3AA9-C4F2-AF10-EF2B1D59FB4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45857" name="Picture 6" descr="A logo with a red and blue design&#10;&#10;Description automatically generated">
                      <a:extLst>
                        <a:ext uri="{FF2B5EF4-FFF2-40B4-BE49-F238E27FC236}">
                          <a16:creationId xmlns:a16="http://schemas.microsoft.com/office/drawing/2014/main" id="{497CAD6E-3AA9-C4F2-AF10-EF2B1D59FB4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C6893B" w14:textId="77777777" w:rsidR="005A1C3F" w:rsidRDefault="005A1C3F" w:rsidP="007272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21672E" w14:textId="53294846" w:rsidR="00D47C6F" w:rsidRDefault="00D47C6F" w:rsidP="007272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UIP „SECRURAL“, HRZZ (UIP-2019-04-5257) </w:t>
      </w:r>
    </w:p>
    <w:p w14:paraId="66851569" w14:textId="77777777" w:rsidR="00EB5237" w:rsidRDefault="00EB5237" w:rsidP="007272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BA85B3" w14:textId="038D8071" w:rsidR="00F27707" w:rsidRDefault="0072721B" w:rsidP="0072721B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72721B">
        <w:rPr>
          <w:rFonts w:ascii="Times New Roman" w:hAnsi="Times New Roman" w:cs="Times New Roman"/>
          <w:sz w:val="28"/>
          <w:szCs w:val="28"/>
        </w:rPr>
        <w:t xml:space="preserve">Opis izračuna </w:t>
      </w:r>
      <w:r w:rsidRPr="00C833DF">
        <w:rPr>
          <w:rFonts w:ascii="Times New Roman" w:hAnsi="Times New Roman" w:cs="Times New Roman"/>
          <w:i/>
          <w:iCs/>
          <w:sz w:val="28"/>
          <w:szCs w:val="28"/>
        </w:rPr>
        <w:t>Indeksa ruralne razvijenosti</w:t>
      </w:r>
    </w:p>
    <w:p w14:paraId="0D54E589" w14:textId="5AEF303E" w:rsidR="00EB6FDF" w:rsidRDefault="00EB6FDF" w:rsidP="0072721B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Bruno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Šimac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asist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099A67D1" w14:textId="77777777" w:rsidR="00EB5237" w:rsidRPr="0072721B" w:rsidRDefault="00EB5237" w:rsidP="007272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DFD833" w14:textId="2097F9B5" w:rsidR="0072721B" w:rsidRDefault="0072721B" w:rsidP="0072721B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Kompozitni indeks ruralne razvijenosti bit će računat pomoću dva načina izračuna kompozitnog indeksa. Oba se mogu pronaći kod izračuna </w:t>
      </w:r>
      <w:r w:rsidRPr="0072721B">
        <w:rPr>
          <w:rFonts w:ascii="Times New Roman" w:hAnsi="Times New Roman" w:cs="Times New Roman"/>
          <w:b w:val="0"/>
          <w:bCs w:val="0"/>
          <w:sz w:val="24"/>
          <w:szCs w:val="24"/>
        </w:rPr>
        <w:t>indeks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Pr="007272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razvijenosti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Pr="007272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temeljnom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2721B">
        <w:rPr>
          <w:rFonts w:ascii="Times New Roman" w:hAnsi="Times New Roman" w:cs="Times New Roman"/>
          <w:b w:val="0"/>
          <w:bCs w:val="0"/>
          <w:sz w:val="24"/>
          <w:szCs w:val="24"/>
        </w:rPr>
        <w:t>instrumentu hrvatske regionalne politike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koji služi za ocjenjivanje i kategorizaciju hrvatskih jedinica lokalne i regionalne samouprave prema stupnju razvijenosti.</w:t>
      </w:r>
      <w:r w:rsidRPr="007272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2B25DFB2" w14:textId="2B8323C5" w:rsidR="003D330A" w:rsidRDefault="0072721B" w:rsidP="003D330A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Prvi način izračuna se temelji na Min-Max metodi standardizacije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/normalizacije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pokazatelja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i korištenju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multivarijatn</w:t>
      </w:r>
      <w:r w:rsidR="00446943">
        <w:rPr>
          <w:rFonts w:ascii="Times New Roman" w:hAnsi="Times New Roman" w:cs="Times New Roman"/>
          <w:b w:val="0"/>
          <w:bCs w:val="0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metod</w:t>
      </w:r>
      <w:r w:rsidR="00446943">
        <w:rPr>
          <w:rFonts w:ascii="Times New Roman" w:hAnsi="Times New Roman" w:cs="Times New Roman"/>
          <w:b w:val="0"/>
          <w:bCs w:val="0"/>
          <w:sz w:val="24"/>
          <w:szCs w:val="24"/>
        </w:rPr>
        <w:t>e</w:t>
      </w:r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</w:t>
      </w:r>
      <w:r w:rsidRPr="0072721B">
        <w:rPr>
          <w:rFonts w:ascii="Times New Roman" w:hAnsi="Times New Roman" w:cs="Times New Roman"/>
          <w:b w:val="0"/>
          <w:bCs w:val="0"/>
          <w:sz w:val="24"/>
          <w:szCs w:val="24"/>
        </w:rPr>
        <w:t>naliz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e</w:t>
      </w:r>
      <w:r w:rsidRPr="007272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glavnih komponenata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kao </w:t>
      </w:r>
      <w:r w:rsidRPr="0072721B">
        <w:rPr>
          <w:rFonts w:ascii="Times New Roman" w:hAnsi="Times New Roman" w:cs="Times New Roman"/>
          <w:b w:val="0"/>
          <w:bCs w:val="0"/>
          <w:sz w:val="24"/>
          <w:szCs w:val="24"/>
        </w:rPr>
        <w:t>metod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e</w:t>
      </w:r>
      <w:r w:rsidRPr="007272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za određivanje veličine pondera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(otežanja) svakog </w:t>
      </w:r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>standardiziranog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/normaliziranog</w:t>
      </w:r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koji tvori konačni kompozitni indeks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Nicolleti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Scarpetta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Boylaud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, 20</w:t>
      </w:r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0; </w:t>
      </w:r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OECD, 2008; Perišić i Wagner, 2015). Drugi način izračuna se temelji na </w:t>
      </w:r>
      <w:proofErr w:type="spellStart"/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>Maziotta-Pareto</w:t>
      </w:r>
      <w:proofErr w:type="spellEnd"/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načinu izračuna kompozitnog indeksa kojeg koriste </w:t>
      </w:r>
      <w:proofErr w:type="spellStart"/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>Denona</w:t>
      </w:r>
      <w:proofErr w:type="spellEnd"/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Bogović, </w:t>
      </w:r>
      <w:proofErr w:type="spellStart"/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>Drezgić</w:t>
      </w:r>
      <w:proofErr w:type="spellEnd"/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</w:t>
      </w:r>
      <w:proofErr w:type="spellStart"/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>Čegar</w:t>
      </w:r>
      <w:proofErr w:type="spellEnd"/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(2017) pri predstavljanju prijedloga novog</w:t>
      </w:r>
      <w:r w:rsidR="004469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kasnije i prihvaćenog, </w:t>
      </w:r>
      <w:r w:rsidR="003D330A">
        <w:rPr>
          <w:rFonts w:ascii="Times New Roman" w:hAnsi="Times New Roman" w:cs="Times New Roman"/>
          <w:b w:val="0"/>
          <w:bCs w:val="0"/>
          <w:sz w:val="24"/>
          <w:szCs w:val="24"/>
        </w:rPr>
        <w:t>modela izračuna indeksa razvijenosti jedinica lokalne i područne samouprave u Republici Hrvatskoj.</w:t>
      </w:r>
    </w:p>
    <w:p w14:paraId="7641D487" w14:textId="503FFB4C" w:rsidR="00DE1527" w:rsidRPr="0072721B" w:rsidRDefault="00DE1527" w:rsidP="002F7057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Prije nego predstavimo opise ovih dviju metoda potrebno je dati svojevrsni teorijski uvod u razumijevanje fenomena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pokazatelja (indikatora)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kompozitnog indeksa.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Općenito,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je kvantitativna ili kvalitativna mjera izvedena iz niza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>uočen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ih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činjenic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koje mogu otkriti relativni položaj (npr.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neke države, administrativne jedine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na određenom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fenomenološkom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području. Kad se procjenjuje u pravilnim intervalima,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može ukazati na smjer promjene različit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ih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>jedinic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a kroz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>vrijeme. U kontekstu analiz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a razvojnih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politik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pokazatelji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su korisni u prepoznavanju trendova i skretanju pozornosti na pojedin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e razvojne probleme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>. Oni također mogu biti korisni u postavljanju prioriteta politike te u uspoređivanju ili praćenju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>izvođenj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a istih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Kako bi se obuhvatili i međusobno agregirali brojni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pokazatelji,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konstruira se k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ompozitni indeks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jedinstveni indeks sastavljen od većeg broja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>pojedinačni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>h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pokazatelja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temeljen na određenom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>model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>u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Kompozitni indeks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trebao bi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u idealnom slučaju mjeriti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>višedimenzionaln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e 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>koncep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te</w:t>
      </w:r>
      <w:r w:rsidRPr="00DE15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koji se ne mogu obuhvatiti jednim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pokazateljem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(OECD, </w:t>
      </w:r>
      <w:r w:rsidR="002F7057" w:rsidRPr="002F7057">
        <w:rPr>
          <w:rFonts w:ascii="Times New Roman" w:hAnsi="Times New Roman" w:cs="Times New Roman"/>
          <w:b w:val="0"/>
          <w:bCs w:val="0"/>
          <w:sz w:val="24"/>
          <w:szCs w:val="24"/>
        </w:rPr>
        <w:t>2008)</w:t>
      </w:r>
      <w:r w:rsidRPr="002F7057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2F7057" w:rsidRPr="002F7057">
        <w:rPr>
          <w:rFonts w:ascii="Times New Roman" w:hAnsi="Times New Roman" w:cs="Times New Roman"/>
        </w:rPr>
        <w:t xml:space="preserve"> </w:t>
      </w:r>
      <w:r w:rsidR="002F7057" w:rsidRPr="002F7057">
        <w:rPr>
          <w:rFonts w:ascii="Times New Roman" w:hAnsi="Times New Roman" w:cs="Times New Roman"/>
          <w:b w:val="0"/>
          <w:bCs w:val="0"/>
          <w:sz w:val="24"/>
          <w:szCs w:val="24"/>
        </w:rPr>
        <w:t>„Glavne prednosti kompozitnih indeksa su sposobnost sažimanja kompleksnih ili višedimenzionalnih pojava, jednostavna i direktna interpretacija, privlačenje pozornosti javnosti i reduciranje velikog broja različitih pokazatelja bez gubitka informacija, dok su nedostaci uglavnom vezani uz problem odašiljanja krivih signala ako su indeksi loše konstruirani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>“</w:t>
      </w:r>
      <w:r w:rsidR="002F7057" w:rsidRP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</w:t>
      </w:r>
      <w:proofErr w:type="spellStart"/>
      <w:r w:rsidR="002F7057" w:rsidRPr="002F7057">
        <w:rPr>
          <w:rFonts w:ascii="Times New Roman" w:hAnsi="Times New Roman" w:cs="Times New Roman"/>
          <w:b w:val="0"/>
          <w:bCs w:val="0"/>
          <w:sz w:val="24"/>
          <w:szCs w:val="24"/>
        </w:rPr>
        <w:t>Nardo</w:t>
      </w:r>
      <w:proofErr w:type="spellEnd"/>
      <w:r w:rsidR="002F7057" w:rsidRP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sur., 2005. prema Perišić i Wagner, 2015).</w:t>
      </w:r>
    </w:p>
    <w:p w14:paraId="4B1113F3" w14:textId="3252AC13" w:rsidR="00DE1527" w:rsidRPr="00815E6A" w:rsidRDefault="00DE1527" w:rsidP="00DE1527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815E6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lastRenderedPageBreak/>
        <w:t>1. MIN-MAX METODA STANDARDIZACIJE I ANALIZA GLAVNIH KOMPONENATA</w:t>
      </w:r>
    </w:p>
    <w:p w14:paraId="6D09C3A2" w14:textId="284E07E4" w:rsidR="004861F1" w:rsidRPr="004861F1" w:rsidRDefault="003D330A" w:rsidP="004861F1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Nakon prikupljanja 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statističkih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podataka za sve teorijski pretpostavljene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E1527">
        <w:rPr>
          <w:rFonts w:ascii="Times New Roman" w:hAnsi="Times New Roman" w:cs="Times New Roman"/>
          <w:b w:val="0"/>
          <w:bCs w:val="0"/>
          <w:sz w:val="24"/>
          <w:szCs w:val="24"/>
        </w:rPr>
        <w:t>koje bi</w:t>
      </w:r>
      <w:r w:rsidR="005679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trebali </w:t>
      </w:r>
      <w:r w:rsidR="00DE1527">
        <w:rPr>
          <w:rFonts w:ascii="Times New Roman" w:hAnsi="Times New Roman" w:cs="Times New Roman"/>
          <w:b w:val="0"/>
          <w:bCs w:val="0"/>
          <w:sz w:val="24"/>
          <w:szCs w:val="24"/>
        </w:rPr>
        <w:t>činiti konačni kompozitni indeks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prvotno je potrebno standardizirati/normalizirati sve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pokazatelje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na </w:t>
      </w:r>
      <w:r w:rsidR="004E37FC">
        <w:rPr>
          <w:rFonts w:ascii="Times New Roman" w:hAnsi="Times New Roman" w:cs="Times New Roman"/>
          <w:b w:val="0"/>
          <w:bCs w:val="0"/>
          <w:sz w:val="24"/>
          <w:szCs w:val="24"/>
        </w:rPr>
        <w:t>isti sustav mjerenja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4861F1" w:rsidRPr="004861F1">
        <w:rPr>
          <w:rFonts w:ascii="Times New Roman" w:hAnsi="Times New Roman" w:cs="Times New Roman"/>
          <w:b w:val="0"/>
          <w:bCs w:val="0"/>
          <w:sz w:val="24"/>
          <w:szCs w:val="24"/>
        </w:rPr>
        <w:t>Zbog različitih mjernih jedinica pokazatelja te postojanja razlika u srednjim vrijednostima i devijaciji,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 w:rsidRPr="004861F1">
        <w:rPr>
          <w:rFonts w:ascii="Times New Roman" w:hAnsi="Times New Roman" w:cs="Times New Roman"/>
          <w:b w:val="0"/>
          <w:bCs w:val="0"/>
          <w:sz w:val="24"/>
          <w:szCs w:val="24"/>
        </w:rPr>
        <w:t>pokazatelje je nužno normalizirati. Normalizacija može imati presudan učinak na vrijednost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 w:rsidRPr="00486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kompozitnog indeksa, a time i na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konačno </w:t>
      </w:r>
      <w:r w:rsidR="004861F1" w:rsidRPr="004861F1">
        <w:rPr>
          <w:rFonts w:ascii="Times New Roman" w:hAnsi="Times New Roman" w:cs="Times New Roman"/>
          <w:b w:val="0"/>
          <w:bCs w:val="0"/>
          <w:sz w:val="24"/>
          <w:szCs w:val="24"/>
        </w:rPr>
        <w:t>rangiranje jedinica.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To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u ovom modelu izračuna indeksa ruralne razvijenosti </w:t>
      </w:r>
      <w:r w:rsidR="002F705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činimo Min-Max metodom standardizacije/normalizacije </w:t>
      </w:r>
      <w:r w:rsidR="004861F1">
        <w:rPr>
          <w:rFonts w:ascii="Times New Roman" w:hAnsi="Times New Roman" w:cs="Times New Roman"/>
          <w:b w:val="0"/>
          <w:bCs w:val="0"/>
          <w:sz w:val="24"/>
          <w:szCs w:val="24"/>
        </w:rPr>
        <w:t>koju predlažu Perišić i Wagner (2015)</w:t>
      </w:r>
      <w:r w:rsidR="007D5F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 w:rsidRPr="004861F1">
        <w:rPr>
          <w:rFonts w:ascii="Times New Roman" w:hAnsi="Times New Roman" w:cs="Times New Roman"/>
          <w:b w:val="0"/>
          <w:bCs w:val="0"/>
          <w:sz w:val="24"/>
          <w:szCs w:val="24"/>
        </w:rPr>
        <w:t>pri čemu se umjesto početne vrijednosti pokazatelja promatra njegova udaljenost od</w:t>
      </w:r>
      <w:r w:rsidR="007D5F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 w:rsidRPr="004861F1">
        <w:rPr>
          <w:rFonts w:ascii="Times New Roman" w:hAnsi="Times New Roman" w:cs="Times New Roman"/>
          <w:b w:val="0"/>
          <w:bCs w:val="0"/>
          <w:sz w:val="24"/>
          <w:szCs w:val="24"/>
        </w:rPr>
        <w:t>najmanje vrijednosti u uzorku relativno na raspon vrijednosti pokazatelja. Nadalje</w:t>
      </w:r>
      <w:r w:rsidR="007D5F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r w:rsidR="004861F1" w:rsidRPr="004861F1">
        <w:rPr>
          <w:rFonts w:ascii="Times New Roman" w:hAnsi="Times New Roman" w:cs="Times New Roman"/>
          <w:b w:val="0"/>
          <w:bCs w:val="0"/>
          <w:sz w:val="24"/>
          <w:szCs w:val="24"/>
        </w:rPr>
        <w:t>normalizirana vrijednost svakog pokazatelja dijeli se s normaliziranom vrijednosti pokazatelja na</w:t>
      </w:r>
      <w:r w:rsidR="007D5F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861F1" w:rsidRPr="004861F1">
        <w:rPr>
          <w:rFonts w:ascii="Times New Roman" w:hAnsi="Times New Roman" w:cs="Times New Roman"/>
          <w:b w:val="0"/>
          <w:bCs w:val="0"/>
          <w:sz w:val="24"/>
          <w:szCs w:val="24"/>
        </w:rPr>
        <w:t>razini Hrvatske te se dobiva</w:t>
      </w:r>
      <w:r w:rsidR="007D5F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sljedeća formula standardizacije/normalizacije pokazatelja:</w:t>
      </w:r>
    </w:p>
    <w:p w14:paraId="2C54D90A" w14:textId="79EF03B9" w:rsidR="004861F1" w:rsidRPr="00686A30" w:rsidRDefault="00000000" w:rsidP="004861F1">
      <w:pPr>
        <w:spacing w:line="276" w:lineRule="auto"/>
        <w:jc w:val="both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istand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i,min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i,max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i,min</m:t>
                      </m:r>
                    </m:sub>
                  </m:sSub>
                </m:den>
              </m:f>
            </m:num>
            <m:den>
              <m:f>
                <m:f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i,HR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i,min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i,max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i,min</m:t>
                      </m:r>
                    </m:sub>
                  </m:sSub>
                </m:den>
              </m:f>
            </m:den>
          </m:f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i,min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i,HR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i,min</m:t>
                  </m:r>
                </m:sub>
              </m:sSub>
            </m:den>
          </m:f>
        </m:oMath>
      </m:oMathPara>
    </w:p>
    <w:p w14:paraId="525C8F20" w14:textId="1D698944" w:rsidR="007D5F0C" w:rsidRDefault="004322EC" w:rsidP="004322EC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Nakon provedbe standardizacije/normalizacije svih pokazatelja koje namjeravamo koristiti u finalnom agregiranju kako bismo dobili jedan jedinstveni kompozitni indeks potrebno je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odab</w:t>
      </w:r>
      <w:r w:rsidR="00DF49C1">
        <w:rPr>
          <w:rFonts w:ascii="Times New Roman" w:hAnsi="Times New Roman" w:cs="Times New Roman"/>
          <w:b w:val="0"/>
          <w:bCs w:val="0"/>
          <w:sz w:val="24"/>
          <w:szCs w:val="24"/>
        </w:rPr>
        <w:t>rati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ponder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e/otežanja za svaki pojedini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pokazatelj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a to se smatra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najteži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m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aspekt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om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konstruiranja višedimenzionalnog indeksa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(Perišić i Wagner, 2015). U ovom modelu za određivanje veličine pondera/otežanja pokazatelja korištena je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analiza glavnih komponenata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4322EC">
        <w:t xml:space="preserve">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AGK omogućuje redukciju originalnih varijabli tako da se umjesto njih koristi manji broj njihovih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linearnih kombinacija uz minimiziranje gubitka informacija o varijabilnosti sustava.</w:t>
      </w:r>
      <w:r w:rsidRPr="004322EC">
        <w:t xml:space="preserve">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Svaki faktor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dobiven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pomoću analize glavnih komponenat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a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otkriva skup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pokazatelj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 kojima ima najjaču povezanost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 odnosno ključn</w:t>
      </w:r>
      <w:r w:rsidR="00DF49C1">
        <w:rPr>
          <w:rFonts w:ascii="Times New Roman" w:hAnsi="Times New Roman" w:cs="Times New Roman"/>
          <w:b w:val="0"/>
          <w:bCs w:val="0"/>
          <w:sz w:val="24"/>
          <w:szCs w:val="24"/>
        </w:rPr>
        <w:t>i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cilj je 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objasniti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što je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moguć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e veću količinu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varijance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u skupu pokazatelja uz najmanji mogući broj čimbenika</w:t>
      </w:r>
      <w:r w:rsidR="00DF49C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(OECD, 2008)</w:t>
      </w:r>
      <w:r w:rsidRPr="004322E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5822A7FD" w14:textId="6CBBFCE6" w:rsidR="00AE0E74" w:rsidRDefault="00DF49C1" w:rsidP="00B62B01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AGK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uključuje </w:t>
      </w:r>
      <w:r w:rsidR="00744037">
        <w:rPr>
          <w:rFonts w:ascii="Times New Roman" w:hAnsi="Times New Roman" w:cs="Times New Roman"/>
          <w:b w:val="0"/>
          <w:bCs w:val="0"/>
          <w:sz w:val="24"/>
          <w:szCs w:val="24"/>
        </w:rPr>
        <w:t>četiri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koraka</w:t>
      </w:r>
      <w:r w:rsidR="00744037">
        <w:rPr>
          <w:rFonts w:ascii="Times New Roman" w:hAnsi="Times New Roman" w:cs="Times New Roman"/>
          <w:b w:val="0"/>
          <w:bCs w:val="0"/>
          <w:sz w:val="24"/>
          <w:szCs w:val="24"/>
        </w:rPr>
        <w:t>. Prv</w:t>
      </w:r>
      <w:r w:rsidR="00DC6F49">
        <w:rPr>
          <w:rFonts w:ascii="Times New Roman" w:hAnsi="Times New Roman" w:cs="Times New Roman"/>
          <w:b w:val="0"/>
          <w:bCs w:val="0"/>
          <w:sz w:val="24"/>
          <w:szCs w:val="24"/>
        </w:rPr>
        <w:t>o, da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bi faktorska analiza dala značajne rezultate, varijable u skupu podataka moraju biti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međusobno povezane</w:t>
      </w:r>
      <w:r w:rsidR="00DC6F49">
        <w:rPr>
          <w:rFonts w:ascii="Times New Roman" w:hAnsi="Times New Roman" w:cs="Times New Roman"/>
          <w:b w:val="0"/>
          <w:bCs w:val="0"/>
          <w:sz w:val="24"/>
          <w:szCs w:val="24"/>
        </w:rPr>
        <w:t>, odnosno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ako su korelacije između varijabli male, malo je vjerojatno da dijele zajedničke </w:t>
      </w:r>
      <w:r w:rsidR="009D7C8F">
        <w:rPr>
          <w:rFonts w:ascii="Times New Roman" w:hAnsi="Times New Roman" w:cs="Times New Roman"/>
          <w:b w:val="0"/>
          <w:bCs w:val="0"/>
          <w:sz w:val="24"/>
          <w:szCs w:val="24"/>
        </w:rPr>
        <w:t>faktore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9D7C8F">
        <w:rPr>
          <w:rFonts w:ascii="Times New Roman" w:hAnsi="Times New Roman" w:cs="Times New Roman"/>
          <w:b w:val="0"/>
          <w:bCs w:val="0"/>
          <w:sz w:val="24"/>
          <w:szCs w:val="24"/>
        </w:rPr>
        <w:t>Drugi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korak uključuje ekstrakciju faktora, tj. 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i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dentifikaciju broja </w:t>
      </w:r>
      <w:r w:rsidR="009D7C8F">
        <w:rPr>
          <w:rFonts w:ascii="Times New Roman" w:hAnsi="Times New Roman" w:cs="Times New Roman"/>
          <w:b w:val="0"/>
          <w:bCs w:val="0"/>
          <w:sz w:val="24"/>
          <w:szCs w:val="24"/>
        </w:rPr>
        <w:t>faktora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potrebn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ih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za predstavljanje 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pokazatelja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i metode za njihovo izračunavanje. Svaki faktor definiran je kao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skup </w:t>
      </w:r>
      <w:r w:rsidR="008A44FD">
        <w:rPr>
          <w:rFonts w:ascii="Times New Roman" w:hAnsi="Times New Roman" w:cs="Times New Roman"/>
          <w:b w:val="0"/>
          <w:bCs w:val="0"/>
          <w:sz w:val="24"/>
          <w:szCs w:val="24"/>
        </w:rPr>
        <w:t>opterećenja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(tzv. </w:t>
      </w:r>
      <w:r w:rsidR="008A44FD">
        <w:rPr>
          <w:rFonts w:ascii="Times New Roman" w:hAnsi="Times New Roman" w:cs="Times New Roman"/>
          <w:b w:val="0"/>
          <w:bCs w:val="0"/>
          <w:sz w:val="24"/>
          <w:szCs w:val="24"/>
        </w:rPr>
        <w:t>saturacija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), svaki mjereći korelaciju između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pojedinačn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og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pokazatelj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latentn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og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faktor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U analizi glavnih komponenata linearne kombinacije osnovnih pokazatelja 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nastale su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na sljedeći način: prva glavna komponenta je kombinacija koj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u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čini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najveća količina varijabilnosti u uzorku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, d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rug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u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glavn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u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komponent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u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čini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sljedeća najveća varijanca 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koja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nije u korelaciji s prvom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, odnosno sve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u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zastopne komponente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objasnit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će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sve manje dijelove varijance uzorka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, a sve će biti nepovezane s ranijim komponentama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B62B01" w:rsidRPr="00B62B01">
        <w:t xml:space="preserve"> 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>U skladu sa standardnom praksom</w:t>
      </w:r>
      <w:r w:rsidR="002D73D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odabiru se oni faktori koji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DA0D5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1. imaju svojstvene vrijednosti veće od 1; 2. 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>pojedinačno doprin</w:t>
      </w:r>
      <w:r w:rsidR="00DE3FF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ose 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>ukupn</w:t>
      </w:r>
      <w:r w:rsidR="00DE3FFD">
        <w:rPr>
          <w:rFonts w:ascii="Times New Roman" w:hAnsi="Times New Roman" w:cs="Times New Roman"/>
          <w:b w:val="0"/>
          <w:bCs w:val="0"/>
          <w:sz w:val="24"/>
          <w:szCs w:val="24"/>
        </w:rPr>
        <w:t>oj objašnjenoj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varijanc</w:t>
      </w:r>
      <w:r w:rsidR="002013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i 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>za više od 1</w:t>
      </w:r>
      <w:r w:rsidR="002013C2">
        <w:rPr>
          <w:rFonts w:ascii="Times New Roman" w:hAnsi="Times New Roman" w:cs="Times New Roman"/>
          <w:b w:val="0"/>
          <w:bCs w:val="0"/>
          <w:sz w:val="24"/>
          <w:szCs w:val="24"/>
        </w:rPr>
        <w:t>0%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  <w:r w:rsidR="002013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te 3. 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>kumulativno doprinose objašnjenju ukupne varijance podataka za više od</w:t>
      </w:r>
      <w:r w:rsidR="002013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>60</w:t>
      </w:r>
      <w:r w:rsidR="00FC2F64">
        <w:rPr>
          <w:rFonts w:ascii="Times New Roman" w:hAnsi="Times New Roman" w:cs="Times New Roman"/>
          <w:b w:val="0"/>
          <w:bCs w:val="0"/>
          <w:sz w:val="24"/>
          <w:szCs w:val="24"/>
        </w:rPr>
        <w:t>%</w:t>
      </w:r>
      <w:r w:rsidR="00E103B7" w:rsidRPr="00E103B7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FC2F6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Treći korak uključuje rotaciju 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pokazatelja kojom se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pokušava minimizirati broj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osnovnih pokazatelja koji imaju veliko opterećenje (</w:t>
      </w:r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saturaciju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na isti faktor. </w:t>
      </w:r>
      <w:r w:rsidR="0078189E">
        <w:rPr>
          <w:rFonts w:ascii="Times New Roman" w:hAnsi="Times New Roman" w:cs="Times New Roman"/>
          <w:b w:val="0"/>
          <w:bCs w:val="0"/>
          <w:sz w:val="24"/>
          <w:szCs w:val="24"/>
        </w:rPr>
        <w:t>Koristi se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>varimax</w:t>
      </w:r>
      <w:proofErr w:type="spellEnd"/>
      <w:r w:rsid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transformacija </w:t>
      </w:r>
      <w:proofErr w:type="spellStart"/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faktorijalnih</w:t>
      </w:r>
      <w:proofErr w:type="spellEnd"/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osi koja omogućuje </w:t>
      </w:r>
      <w:r w:rsidR="0041354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da je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svaki pokazatelj</w:t>
      </w:r>
      <w:r w:rsidR="0041354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povezan s i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sključivo </w:t>
      </w:r>
      <w:r w:rsidR="0041354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jednim od zadržanih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faktor</w:t>
      </w:r>
      <w:r w:rsidR="0041354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a, čime se 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poboljšava razumljivost</w:t>
      </w:r>
      <w:r w:rsidR="00096498">
        <w:rPr>
          <w:rFonts w:ascii="Times New Roman" w:hAnsi="Times New Roman" w:cs="Times New Roman"/>
          <w:b w:val="0"/>
          <w:bCs w:val="0"/>
          <w:sz w:val="24"/>
          <w:szCs w:val="24"/>
        </w:rPr>
        <w:t>/interpretacija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ovih </w:t>
      </w:r>
      <w:r w:rsidR="0041354D">
        <w:rPr>
          <w:rFonts w:ascii="Times New Roman" w:hAnsi="Times New Roman" w:cs="Times New Roman"/>
          <w:b w:val="0"/>
          <w:bCs w:val="0"/>
          <w:sz w:val="24"/>
          <w:szCs w:val="24"/>
        </w:rPr>
        <w:t>faktora</w:t>
      </w:r>
      <w:r w:rsidR="00B62B01" w:rsidRPr="00B62B0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574930" w:rsidRPr="00574930">
        <w:t xml:space="preserve"> 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>Posljednji</w:t>
      </w:r>
      <w:r w:rsidR="00574930">
        <w:rPr>
          <w:rFonts w:ascii="Times New Roman" w:hAnsi="Times New Roman" w:cs="Times New Roman"/>
          <w:b w:val="0"/>
          <w:bCs w:val="0"/>
          <w:sz w:val="24"/>
          <w:szCs w:val="24"/>
        </w:rPr>
        <w:t>, četvrti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korak uključuje konstrukciju pondera</w:t>
      </w:r>
      <w:r w:rsidR="00574930">
        <w:rPr>
          <w:rFonts w:ascii="Times New Roman" w:hAnsi="Times New Roman" w:cs="Times New Roman"/>
          <w:b w:val="0"/>
          <w:bCs w:val="0"/>
          <w:sz w:val="24"/>
          <w:szCs w:val="24"/>
        </w:rPr>
        <w:t>/otežanja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korištenih za izradu </w:t>
      </w:r>
      <w:r w:rsidR="00FE140F">
        <w:rPr>
          <w:rFonts w:ascii="Times New Roman" w:hAnsi="Times New Roman" w:cs="Times New Roman"/>
          <w:b w:val="0"/>
          <w:bCs w:val="0"/>
          <w:sz w:val="24"/>
          <w:szCs w:val="24"/>
        </w:rPr>
        <w:t>kompozitnog indeksa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FE140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Korišteni model </w:t>
      </w:r>
      <w:r w:rsidR="00803341">
        <w:rPr>
          <w:rFonts w:ascii="Times New Roman" w:hAnsi="Times New Roman" w:cs="Times New Roman"/>
          <w:b w:val="0"/>
          <w:bCs w:val="0"/>
          <w:sz w:val="24"/>
          <w:szCs w:val="24"/>
        </w:rPr>
        <w:t>se sastoj</w:t>
      </w:r>
      <w:r w:rsidR="00096498">
        <w:rPr>
          <w:rFonts w:ascii="Times New Roman" w:hAnsi="Times New Roman" w:cs="Times New Roman"/>
          <w:b w:val="0"/>
          <w:bCs w:val="0"/>
          <w:sz w:val="24"/>
          <w:szCs w:val="24"/>
        </w:rPr>
        <w:t>i</w:t>
      </w:r>
      <w:r w:rsidR="008033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od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>ponderiranj</w:t>
      </w:r>
      <w:r w:rsidR="00803341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proofErr w:type="spellEnd"/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svakog </w:t>
      </w:r>
      <w:r w:rsidR="00803341">
        <w:rPr>
          <w:rFonts w:ascii="Times New Roman" w:hAnsi="Times New Roman" w:cs="Times New Roman"/>
          <w:b w:val="0"/>
          <w:bCs w:val="0"/>
          <w:sz w:val="24"/>
          <w:szCs w:val="24"/>
        </w:rPr>
        <w:t>posebnog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pokazatelja</w:t>
      </w:r>
      <w:r w:rsidR="00FE140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>prema udjelu njegove varijance koj</w:t>
      </w:r>
      <w:r w:rsidR="00A6598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a je objašnjena </w:t>
      </w:r>
      <w:r w:rsidR="00803341">
        <w:rPr>
          <w:rFonts w:ascii="Times New Roman" w:hAnsi="Times New Roman" w:cs="Times New Roman"/>
          <w:b w:val="0"/>
          <w:bCs w:val="0"/>
          <w:sz w:val="24"/>
          <w:szCs w:val="24"/>
        </w:rPr>
        <w:t>faktorom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 kojim je povezan</w:t>
      </w:r>
      <w:r w:rsidR="00A6598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(tj. </w:t>
      </w:r>
      <w:r w:rsidR="00514209">
        <w:rPr>
          <w:rFonts w:ascii="Times New Roman" w:hAnsi="Times New Roman" w:cs="Times New Roman"/>
          <w:b w:val="0"/>
          <w:bCs w:val="0"/>
          <w:sz w:val="24"/>
          <w:szCs w:val="24"/>
        </w:rPr>
        <w:t>normalizirane kvadratne saturacije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), dok je svaki faktor </w:t>
      </w:r>
      <w:r w:rsidR="0051420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još dodatno 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>ponderiran u skladu sa svojim</w:t>
      </w:r>
      <w:r w:rsidR="0051420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>doprinos</w:t>
      </w:r>
      <w:r w:rsidR="00514209">
        <w:rPr>
          <w:rFonts w:ascii="Times New Roman" w:hAnsi="Times New Roman" w:cs="Times New Roman"/>
          <w:b w:val="0"/>
          <w:bCs w:val="0"/>
          <w:sz w:val="24"/>
          <w:szCs w:val="24"/>
        </w:rPr>
        <w:t>om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dijelu objašnjene varijance u </w:t>
      </w:r>
      <w:r w:rsidR="0051420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cjelokupnom 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>skupu podataka (tj. normalizirani zbroj</w:t>
      </w:r>
      <w:r w:rsidR="0051420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kvadratnih saturacija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>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Nicolleti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Scarpetta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Boylaud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, 2000)</w:t>
      </w:r>
      <w:r w:rsidR="00574930" w:rsidRPr="00574930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0B103659" w14:textId="31D1C942" w:rsidR="00B62B01" w:rsidRPr="00815E6A" w:rsidRDefault="003B52F3" w:rsidP="00B62B01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815E6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2. MAZIOTTA-PARETO INDEKS</w:t>
      </w:r>
    </w:p>
    <w:p w14:paraId="44BFCEBA" w14:textId="40420C65" w:rsidR="007D5543" w:rsidRDefault="007D5543" w:rsidP="00AE0E74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Problem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arbitrarnih, sub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>jektivnih procjena</w:t>
      </w:r>
      <w:r w:rsidR="00A853A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pondera/otežanja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, može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se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izbjeći primjenom statističkih metoda kao što su faktorska analiza ili analiza glavnih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komponen</w:t>
      </w:r>
      <w:r w:rsidR="00A853A2">
        <w:rPr>
          <w:rFonts w:ascii="Times New Roman" w:hAnsi="Times New Roman" w:cs="Times New Roman"/>
          <w:b w:val="0"/>
          <w:bCs w:val="0"/>
          <w:sz w:val="24"/>
          <w:szCs w:val="24"/>
        </w:rPr>
        <w:t>ata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, gdje se ponderi prilagođavaju u skladu s utvrđenim stupnjem korelacije između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pojedinih pokazatelja. Međutim, kod primjene statističkih metoda u konstrukciji kompozitnih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indeksa javlja se pitanje usporedivosti njihovih vrijednosti za različita vremenska razdoblja.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Naime, kada se potrebni podaci za izračun definiranog kompozitnog indeksa ažuriraju može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doći do promjene korelacijskih odnosa između tematskih pokazatelja i njihovih </w:t>
      </w:r>
      <w:proofErr w:type="spellStart"/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subpokazatelja</w:t>
      </w:r>
      <w:proofErr w:type="spellEnd"/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a samim time i do promjene njihovih pondera u strukturi indeksa, što de facto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znači da se u tom slučaju radi o potpuno različitom indeksu koji nije usporediv s onim u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prethodnom razdoblju. Također, navedeno ukazuje da se ponderi dobiveni </w:t>
      </w:r>
      <w:proofErr w:type="spellStart"/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multivarijantnom</w:t>
      </w:r>
      <w:proofErr w:type="spellEnd"/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analizom podataka u određenom razdoblju ne mogu uzeti relevantnim za izračun vrijednosti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kompozitnih indeksa u budućim razdobljima jer su oni proizašli iz korelacijskih odnosa koji su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zbog specifičnih gospodarskih, tehnoloških, društvenih i drugih okolnosti bili karakteristični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samo za to razdoblje, stoga bi bilo pogrešno pretpostaviti da će ti odnosi biti fiksni u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srednjem i dugom roku. Navedeno u analitičkom smislu, ali i u smislu praćenja uspješnosti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provođenja regionalnih politika svakako predstavlja veliki nedostatak, budući da jedino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usporedive vrijednosti indeksa i njihovih komponenti mogu donositeljima odluka ukazati na</w:t>
      </w:r>
      <w:r w:rsidR="005E4D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to koliko su pojedin</w:t>
      </w:r>
      <w:r w:rsidR="009805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a geografska područja 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>napredoval</w:t>
      </w:r>
      <w:r w:rsidR="009805CA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ili nazadoval</w:t>
      </w:r>
      <w:r w:rsidR="009805CA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Pr="007D55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u određenim razvojnim aspektima ili</w:t>
      </w:r>
      <w:r w:rsidR="00AE0E74" w:rsidRPr="00AE0E74">
        <w:t xml:space="preserve"> </w:t>
      </w:r>
      <w:r w:rsidR="00AE0E74" w:rsidRPr="00AE0E74">
        <w:rPr>
          <w:rFonts w:ascii="Times New Roman" w:hAnsi="Times New Roman" w:cs="Times New Roman"/>
          <w:b w:val="0"/>
          <w:bCs w:val="0"/>
          <w:sz w:val="24"/>
          <w:szCs w:val="24"/>
        </w:rPr>
        <w:t>sveukupno. Upravo zbog gore navedenih razloga neki autori smatraju da je najbolje</w:t>
      </w:r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0E74" w:rsidRPr="00AE0E74">
        <w:rPr>
          <w:rFonts w:ascii="Times New Roman" w:hAnsi="Times New Roman" w:cs="Times New Roman"/>
          <w:b w:val="0"/>
          <w:bCs w:val="0"/>
          <w:sz w:val="24"/>
          <w:szCs w:val="24"/>
        </w:rPr>
        <w:t>kompozitne indekse bazirati na jednakim ponderima. Štoviše, dosadašnja iskustva pokazala</w:t>
      </w:r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0E74" w:rsidRPr="00AE0E74">
        <w:rPr>
          <w:rFonts w:ascii="Times New Roman" w:hAnsi="Times New Roman" w:cs="Times New Roman"/>
          <w:b w:val="0"/>
          <w:bCs w:val="0"/>
          <w:sz w:val="24"/>
          <w:szCs w:val="24"/>
        </w:rPr>
        <w:t>su da kada je u konstrukciju kompozitnih indeksa uključen velik broj pokazatelja, primjena</w:t>
      </w:r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0E74" w:rsidRP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metode jednakog </w:t>
      </w:r>
      <w:proofErr w:type="spellStart"/>
      <w:r w:rsidR="00AE0E74" w:rsidRPr="00AE0E74">
        <w:rPr>
          <w:rFonts w:ascii="Times New Roman" w:hAnsi="Times New Roman" w:cs="Times New Roman"/>
          <w:b w:val="0"/>
          <w:bCs w:val="0"/>
          <w:sz w:val="24"/>
          <w:szCs w:val="24"/>
        </w:rPr>
        <w:t>ponderiranja</w:t>
      </w:r>
      <w:proofErr w:type="spellEnd"/>
      <w:r w:rsidR="00AE0E74" w:rsidRP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složenih statističkih metoda </w:t>
      </w:r>
      <w:proofErr w:type="spellStart"/>
      <w:r w:rsidR="00AE0E74" w:rsidRPr="00AE0E74">
        <w:rPr>
          <w:rFonts w:ascii="Times New Roman" w:hAnsi="Times New Roman" w:cs="Times New Roman"/>
          <w:b w:val="0"/>
          <w:bCs w:val="0"/>
          <w:sz w:val="24"/>
          <w:szCs w:val="24"/>
        </w:rPr>
        <w:t>ponderiranja</w:t>
      </w:r>
      <w:proofErr w:type="spellEnd"/>
      <w:r w:rsidR="00AE0E74" w:rsidRP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daju vrlo slične</w:t>
      </w:r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0E74" w:rsidRPr="00AE0E74">
        <w:rPr>
          <w:rFonts w:ascii="Times New Roman" w:hAnsi="Times New Roman" w:cs="Times New Roman"/>
          <w:b w:val="0"/>
          <w:bCs w:val="0"/>
          <w:sz w:val="24"/>
          <w:szCs w:val="24"/>
        </w:rPr>
        <w:t>rezultate</w:t>
      </w:r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</w:t>
      </w:r>
      <w:proofErr w:type="spellStart"/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>Denona</w:t>
      </w:r>
      <w:proofErr w:type="spellEnd"/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Bogović, </w:t>
      </w:r>
      <w:proofErr w:type="spellStart"/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>Drezgić</w:t>
      </w:r>
      <w:proofErr w:type="spellEnd"/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</w:t>
      </w:r>
      <w:proofErr w:type="spellStart"/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>Čegar</w:t>
      </w:r>
      <w:proofErr w:type="spellEnd"/>
      <w:r w:rsidR="00AE0E74">
        <w:rPr>
          <w:rFonts w:ascii="Times New Roman" w:hAnsi="Times New Roman" w:cs="Times New Roman"/>
          <w:b w:val="0"/>
          <w:bCs w:val="0"/>
          <w:sz w:val="24"/>
          <w:szCs w:val="24"/>
        </w:rPr>
        <w:t>, 2017).</w:t>
      </w:r>
    </w:p>
    <w:p w14:paraId="18DBCED8" w14:textId="03FC1B9D" w:rsidR="00D8672F" w:rsidRDefault="00DC009B" w:rsidP="000464D3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>Na temelju utvrđenih metodoloških nedostataka postojećeg modela izračuna indeksa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razvijenosti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u RH</w:t>
      </w: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Denona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Bogović,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Drezgić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Čegar</w:t>
      </w:r>
      <w:proofErr w:type="spellEnd"/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(2017) </w:t>
      </w: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>su prepoznali tri ključna kriterija koja mora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>zadovoljiti novi model izračuna: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>1. mora otkloniti ili ublažiti utjecaj stupnja varijacije vrijednosti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>pokazatelja na konačnu vrijednost indeksa razvijenosti;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2. mora se temeljiti na pretpostavci korištenja </w:t>
      </w:r>
      <w:proofErr w:type="spellStart"/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>nesupstitutivnih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>pokazatelja razvoja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te </w:t>
      </w:r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>3. mora se izbjeći arbitrarno utvrđivanje pondera</w:t>
      </w:r>
      <w:r w:rsid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</w:p>
    <w:p w14:paraId="284AF402" w14:textId="5E72AA76" w:rsidR="00DC009B" w:rsidRDefault="00D8672F" w:rsidP="000464D3">
      <w:p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Stoga se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Denona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Bogović,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Drezgić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Čegar</w:t>
      </w:r>
      <w:proofErr w:type="spellEnd"/>
      <w:r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(2017) okreću računanju kompozitnog indeksa putem</w:t>
      </w:r>
      <w:r w:rsidR="00AD43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alansiran</w:t>
      </w:r>
      <w:r w:rsidR="00AD4316">
        <w:rPr>
          <w:rFonts w:ascii="Times New Roman" w:hAnsi="Times New Roman" w:cs="Times New Roman"/>
          <w:b w:val="0"/>
          <w:bCs w:val="0"/>
          <w:sz w:val="24"/>
          <w:szCs w:val="24"/>
        </w:rPr>
        <w:t>e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z-</w:t>
      </w:r>
      <w:proofErr w:type="spellStart"/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metod</w:t>
      </w:r>
      <w:r w:rsidR="00AD43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e. To 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je nelinearna metoda za izradu kompozitnih indeksa koja</w:t>
      </w:r>
      <w:r w:rsidR="00AD4316"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transformira vrijednosti pojedinih pokazatelja u standardizirane vrijednosti i sumira ih u</w:t>
      </w:r>
      <w:r w:rsidR="00AD4316"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kompozitni indeks koristeći aritmetičku sredinu i koeficijent penalizacije. Navedenu metodu</w:t>
      </w:r>
      <w:r w:rsidR="00AD4316"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razvili su autori </w:t>
      </w:r>
      <w:proofErr w:type="spellStart"/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Mazziotta</w:t>
      </w:r>
      <w:proofErr w:type="spellEnd"/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</w:t>
      </w:r>
      <w:proofErr w:type="spellStart"/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Pareto</w:t>
      </w:r>
      <w:proofErr w:type="spellEnd"/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, po čemu je ona u znanstvenoj i stručnoj literaturi</w:t>
      </w:r>
      <w:r w:rsidR="00AD4316"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poznatija i pod nazivom </w:t>
      </w:r>
      <w:proofErr w:type="spellStart"/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Mazziotta-Pareto</w:t>
      </w:r>
      <w:proofErr w:type="spellEnd"/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indeks.</w:t>
      </w:r>
      <w:r w:rsidR="002E1BB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Ona se temelji na pretpostavci korištenja </w:t>
      </w:r>
      <w:proofErr w:type="spellStart"/>
      <w:r w:rsidR="00AA7B1B" w:rsidRPr="00DC009B">
        <w:rPr>
          <w:rFonts w:ascii="Times New Roman" w:hAnsi="Times New Roman" w:cs="Times New Roman"/>
          <w:b w:val="0"/>
          <w:bCs w:val="0"/>
          <w:sz w:val="24"/>
          <w:szCs w:val="24"/>
        </w:rPr>
        <w:t>nesupstitutivnih</w:t>
      </w:r>
      <w:proofErr w:type="spellEnd"/>
      <w:r w:rsidR="00AA7B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pokazatelja, što znači da </w:t>
      </w:r>
      <w:r w:rsidR="00AA7B1B">
        <w:rPr>
          <w:rFonts w:ascii="Times New Roman" w:hAnsi="Times New Roman" w:cs="Times New Roman"/>
          <w:b w:val="0"/>
          <w:bCs w:val="0"/>
          <w:sz w:val="24"/>
          <w:szCs w:val="24"/>
        </w:rPr>
        <w:t>određena geografska područja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mogu ostvariti visok indeks</w:t>
      </w:r>
      <w:r w:rsidR="002E1BB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672F">
        <w:rPr>
          <w:rFonts w:ascii="Times New Roman" w:hAnsi="Times New Roman" w:cs="Times New Roman"/>
          <w:b w:val="0"/>
          <w:bCs w:val="0"/>
          <w:sz w:val="24"/>
          <w:szCs w:val="24"/>
        </w:rPr>
        <w:t>razvijenosti jedino ako imaju relativno visoke vrijednosti svih pokazatelja.</w:t>
      </w:r>
    </w:p>
    <w:p w14:paraId="748BAE19" w14:textId="77777777" w:rsidR="00DD7AEE" w:rsidRPr="00DD7AEE" w:rsidRDefault="00DD7AEE" w:rsidP="000464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Primjena balansirane z-</w:t>
      </w:r>
      <w:proofErr w:type="spellStart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metode, odnosno postupak izračuna </w:t>
      </w:r>
      <w:proofErr w:type="spellStart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Mazziotta-Pareto</w:t>
      </w:r>
      <w:proofErr w:type="spellEnd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indeksa</w:t>
      </w:r>
    </w:p>
    <w:p w14:paraId="60CB1621" w14:textId="3643B2CC" w:rsidR="00DD7AEE" w:rsidRPr="00DD7AEE" w:rsidRDefault="00DD7AEE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sastoji se od dva koraka: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1. </w:t>
      </w:r>
      <w:r w:rsidR="005732A3">
        <w:rPr>
          <w:rFonts w:ascii="Times New Roman" w:hAnsi="Times New Roman" w:cs="Times New Roman"/>
          <w:b w:val="0"/>
          <w:bCs w:val="0"/>
          <w:sz w:val="24"/>
          <w:szCs w:val="24"/>
        </w:rPr>
        <w:t>s</w:t>
      </w: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tandardizacija pokazatelja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2. </w:t>
      </w:r>
      <w:proofErr w:type="spellStart"/>
      <w:r w:rsidR="005732A3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>gregacij</w:t>
      </w:r>
      <w:r w:rsidR="00165267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proofErr w:type="spellEnd"/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pokazatelja.</w:t>
      </w:r>
    </w:p>
    <w:p w14:paraId="6BE03B9E" w14:textId="79217258" w:rsidR="000464D3" w:rsidRDefault="00DD7AEE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U okviru metodologije konstrukcije kompozitnih indeksa prema balansiranoj z-</w:t>
      </w:r>
      <w:proofErr w:type="spellStart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metodi,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standardizacija pokazatelja, odnosno svođenje pokazatelja iskazanih u različitim jedinicama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mjere na isti sustav mjerenja vrši se</w:t>
      </w:r>
      <w:r w:rsidR="0063634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pomoću z-</w:t>
      </w:r>
      <w:proofErr w:type="spellStart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metode.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Z</w:t>
      </w:r>
      <w:r w:rsidR="000A7256">
        <w:rPr>
          <w:rFonts w:ascii="Times New Roman" w:hAnsi="Times New Roman" w:cs="Times New Roman"/>
          <w:b w:val="0"/>
          <w:bCs w:val="0"/>
          <w:sz w:val="24"/>
          <w:szCs w:val="24"/>
        </w:rPr>
        <w:t>-</w:t>
      </w:r>
      <w:proofErr w:type="spellStart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poznat i pod nazivom standardni rezultat, mjeri za koliko se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standardnih devijacija 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pojedinačne </w:t>
      </w: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vrijednosti promatranog numeričkog</w:t>
      </w:r>
      <w:r w:rsidR="00A10D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D7AEE">
        <w:rPr>
          <w:rFonts w:ascii="Times New Roman" w:hAnsi="Times New Roman" w:cs="Times New Roman"/>
          <w:b w:val="0"/>
          <w:bCs w:val="0"/>
          <w:sz w:val="24"/>
          <w:szCs w:val="24"/>
        </w:rPr>
        <w:t>obilježja nalaze ispod ili iznad njegove prosječne vrijednosti. Drugim riječima z-</w:t>
      </w:r>
      <w:r w:rsidR="00E24497"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E24497" w:rsidRPr="00E24497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="00E24497" w:rsidRPr="00E244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daje informaciju o relativnoj poziciji određene</w:t>
      </w:r>
      <w:r w:rsidR="00E244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E24497" w:rsidRPr="00E24497">
        <w:rPr>
          <w:rFonts w:ascii="Times New Roman" w:hAnsi="Times New Roman" w:cs="Times New Roman"/>
          <w:b w:val="0"/>
          <w:bCs w:val="0"/>
          <w:sz w:val="24"/>
          <w:szCs w:val="24"/>
        </w:rPr>
        <w:t>vrijednosti u ukupnoj distribuciji u</w:t>
      </w:r>
      <w:r w:rsidR="00E244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E24497" w:rsidRPr="00E24497">
        <w:rPr>
          <w:rFonts w:ascii="Times New Roman" w:hAnsi="Times New Roman" w:cs="Times New Roman"/>
          <w:b w:val="0"/>
          <w:bCs w:val="0"/>
          <w:sz w:val="24"/>
          <w:szCs w:val="24"/>
        </w:rPr>
        <w:t>odnosu na prosječnu vrijednost.</w:t>
      </w:r>
    </w:p>
    <w:p w14:paraId="6FED38E3" w14:textId="36525190" w:rsidR="000464D3" w:rsidRPr="000464D3" w:rsidRDefault="000464D3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>Za pokazatelje koji imaju pozitivnu polarizaciju tj. pokazatelji čije visoke vrijednosti pozitivno</w:t>
      </w:r>
      <w:r w:rsidR="00864B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>utječu na razvijenost (npr. dohodak po stanovniku, prihodi po stanovniku, stopa zaposlenosti</w:t>
      </w:r>
      <w:r w:rsidR="00864B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>i sl.) standardizacija se vrši prema sljedećoj formuli:</w:t>
      </w:r>
    </w:p>
    <w:p w14:paraId="0CDAD09B" w14:textId="671A939E" w:rsidR="00255C97" w:rsidRPr="00DB29B4" w:rsidRDefault="00000000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ij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=100+</m:t>
          </m:r>
          <m:f>
            <m:f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ij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xj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*10</m:t>
          </m:r>
        </m:oMath>
      </m:oMathPara>
    </w:p>
    <w:p w14:paraId="0E9B7580" w14:textId="36699DE3" w:rsidR="000464D3" w:rsidRPr="000464D3" w:rsidRDefault="000464D3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>dok se za standardizaciju pokazatelja koji imaju negativnu polarizaciju tj. pokazatelja čije</w:t>
      </w:r>
    </w:p>
    <w:p w14:paraId="7CF76A64" w14:textId="77777777" w:rsidR="000464D3" w:rsidRPr="000464D3" w:rsidRDefault="000464D3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>visoke vrijednosti negativno utječu na razvijenost (npr. indeks starenja, stopa nezaposlenosti</w:t>
      </w:r>
    </w:p>
    <w:p w14:paraId="3AB975B1" w14:textId="77777777" w:rsidR="000464D3" w:rsidRPr="000464D3" w:rsidRDefault="000464D3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>i sl.) koristi sljedeća formula:</w:t>
      </w:r>
    </w:p>
    <w:p w14:paraId="3140F462" w14:textId="70E2B6CE" w:rsidR="00910C73" w:rsidRPr="00DB29B4" w:rsidRDefault="00000000" w:rsidP="00910C7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ij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=100-</m:t>
          </m:r>
          <m:f>
            <m:f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ij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xj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*10</m:t>
          </m:r>
        </m:oMath>
      </m:oMathPara>
    </w:p>
    <w:p w14:paraId="354D3A29" w14:textId="77777777" w:rsidR="00255C97" w:rsidRDefault="00255C97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8425406" w14:textId="3587C995" w:rsidR="000464D3" w:rsidRPr="000464D3" w:rsidRDefault="000464D3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>gdje je</w:t>
      </w:r>
    </w:p>
    <w:p w14:paraId="339E4572" w14:textId="1056DF4C" w:rsidR="000464D3" w:rsidRPr="00DB29B4" w:rsidRDefault="00000000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 w:rsidR="000464D3" w:rsidRPr="00DB29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standardizirana vrijednost pokazatelja (z-score)</w:t>
      </w:r>
    </w:p>
    <w:p w14:paraId="59DAE308" w14:textId="3DCA6AD3" w:rsidR="000464D3" w:rsidRPr="00DB29B4" w:rsidRDefault="00000000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 w:rsidR="00910C73" w:rsidRPr="00DB29B4"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  <w:t xml:space="preserve"> </w:t>
      </w:r>
      <w:r w:rsidR="000464D3" w:rsidRPr="00DB29B4">
        <w:rPr>
          <w:rFonts w:ascii="Times New Roman" w:hAnsi="Times New Roman" w:cs="Times New Roman"/>
          <w:b w:val="0"/>
          <w:bCs w:val="0"/>
          <w:sz w:val="24"/>
          <w:szCs w:val="24"/>
        </w:rPr>
        <w:t>– vrijednost pokazatelja</w:t>
      </w:r>
    </w:p>
    <w:p w14:paraId="3D4481B9" w14:textId="47D15ABD" w:rsidR="000464D3" w:rsidRPr="00DB29B4" w:rsidRDefault="00000000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xj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0464D3" w:rsidRPr="00DB29B4">
        <w:rPr>
          <w:rFonts w:ascii="Times New Roman" w:hAnsi="Times New Roman" w:cs="Times New Roman"/>
          <w:b w:val="0"/>
          <w:bCs w:val="0"/>
          <w:sz w:val="24"/>
          <w:szCs w:val="24"/>
        </w:rPr>
        <w:t>– prosječna vrijednost za pokazatelj</w:t>
      </w:r>
      <w:r w:rsidR="00D92E8B" w:rsidRPr="00DB29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a računa se prema sljedećoj formuli </w:t>
      </w: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xj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</m:oMath>
      <w:r w:rsidR="00D92E8B" w:rsidRPr="00DB29B4"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ij</m:t>
                    </m:r>
                  </m:sub>
                </m:sSub>
              </m:e>
            </m:nary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</w:p>
    <w:p w14:paraId="5F99F646" w14:textId="305891B0" w:rsidR="000464D3" w:rsidRDefault="00000000" w:rsidP="00864B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xj</m:t>
            </m:r>
          </m:sub>
        </m:sSub>
      </m:oMath>
      <w:r w:rsidR="000464D3" w:rsidRPr="00DB29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standardna</w:t>
      </w:r>
      <w:r w:rsidR="000464D3" w:rsidRPr="000464D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devijacija skupa vrijednosti pokazatelja x</w:t>
      </w:r>
    </w:p>
    <w:p w14:paraId="591B0CCA" w14:textId="60EC6581" w:rsidR="002D68F7" w:rsidRPr="002D68F7" w:rsidRDefault="002D68F7" w:rsidP="002D68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Standardna devijacija </w:t>
      </w:r>
      <w:r w:rsidRPr="00DB29B4"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xj</m:t>
            </m:r>
          </m:sub>
        </m:sSub>
      </m:oMath>
      <w:r w:rsidRPr="00DB29B4">
        <w:rPr>
          <w:rFonts w:ascii="Times New Roman" w:hAnsi="Times New Roman" w:cs="Times New Roman"/>
          <w:b w:val="0"/>
          <w:bCs w:val="0"/>
          <w:sz w:val="24"/>
          <w:szCs w:val="24"/>
        </w:rPr>
        <w:t>) je ap</w:t>
      </w:r>
      <w:proofErr w:type="spellStart"/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>solutna</w:t>
      </w:r>
      <w:proofErr w:type="spellEnd"/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mjera disperzije koja predstavlja prosječno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>odstupanje pojedinačnih vrijednosti numeričkog obilježja od aritmetičke sredine. S obzirom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>na prethodno prikazane oznake varijabli, matematička notacija standardne devijacije glasi:</w:t>
      </w:r>
    </w:p>
    <w:p w14:paraId="797579E0" w14:textId="3C7A6951" w:rsidR="002D68F7" w:rsidRPr="00DB29B4" w:rsidRDefault="00000000" w:rsidP="002D68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xj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 w:val="0"/>
                              <w:bCs w:val="0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 w:val="0"/>
                                  <w:bCs w:val="0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ij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 w:val="0"/>
                                  <w:bCs w:val="0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xj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14:paraId="75418940" w14:textId="1913A079" w:rsidR="002D68F7" w:rsidRDefault="002D68F7" w:rsidP="004906D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>Kod načina primjene z-</w:t>
      </w:r>
      <w:proofErr w:type="spellStart"/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standardizacije na kojem se zasniva </w:t>
      </w:r>
      <w:proofErr w:type="spellStart"/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>Mazziotta-Pareto</w:t>
      </w:r>
      <w:proofErr w:type="spellEnd"/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indeks,</w:t>
      </w:r>
      <w:r w:rsidR="00FB5F1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>vrijednost 100 označava aritmetičku sredinu, a vrijednost 10 je ekvivalentna 1 standardnoj</w:t>
      </w:r>
      <w:r w:rsidR="00FB5F1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2D68F7">
        <w:rPr>
          <w:rFonts w:ascii="Times New Roman" w:hAnsi="Times New Roman" w:cs="Times New Roman"/>
          <w:b w:val="0"/>
          <w:bCs w:val="0"/>
          <w:sz w:val="24"/>
          <w:szCs w:val="24"/>
        </w:rPr>
        <w:t>devijaciji</w:t>
      </w:r>
      <w:r w:rsidR="00FB5F1F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4906DB" w:rsidRPr="004906DB">
        <w:t xml:space="preserve">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Važno je naglasiti da z-</w:t>
      </w:r>
      <w:proofErr w:type="spellStart"/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distribucija zadržava identična obilježja kao i distribucija</w:t>
      </w:r>
      <w:r w:rsid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originalnih podataka, što znači da transformacija originalnih podataka u z-</w:t>
      </w:r>
      <w:proofErr w:type="spellStart"/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vrijednosti</w:t>
      </w:r>
      <w:r w:rsid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ne mijenja njihovu poziciju u distribuciji. Sukladno tome, standardizirane vrijednosti</w:t>
      </w:r>
      <w:r w:rsid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pokazatelja za određen</w:t>
      </w:r>
      <w:r w:rsidR="00A1188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 geografsko područje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koje </w:t>
      </w:r>
      <w:r w:rsidR="00A11881">
        <w:rPr>
          <w:rFonts w:ascii="Times New Roman" w:hAnsi="Times New Roman" w:cs="Times New Roman"/>
          <w:b w:val="0"/>
          <w:bCs w:val="0"/>
          <w:sz w:val="24"/>
          <w:szCs w:val="24"/>
        </w:rPr>
        <w:t>je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veće od 100 ukazuju da je on</w:t>
      </w:r>
      <w:r w:rsidR="00980BA9">
        <w:rPr>
          <w:rFonts w:ascii="Times New Roman" w:hAnsi="Times New Roman" w:cs="Times New Roman"/>
          <w:b w:val="0"/>
          <w:bCs w:val="0"/>
          <w:sz w:val="24"/>
          <w:szCs w:val="24"/>
        </w:rPr>
        <w:t>o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u</w:t>
      </w:r>
      <w:r w:rsid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pogledu tih pokazatelja iznadprosječn</w:t>
      </w:r>
      <w:r w:rsidR="00980BA9">
        <w:rPr>
          <w:rFonts w:ascii="Times New Roman" w:hAnsi="Times New Roman" w:cs="Times New Roman"/>
          <w:b w:val="0"/>
          <w:bCs w:val="0"/>
          <w:sz w:val="24"/>
          <w:szCs w:val="24"/>
        </w:rPr>
        <w:t>o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, dok standardizirane vrijednosti pokazatelja manje od</w:t>
      </w:r>
      <w:r w:rsid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100 ukazuju da promatran</w:t>
      </w:r>
      <w:r w:rsidR="00980BA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 geografsko područje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ima ispodprosječne vrijednosti tih</w:t>
      </w:r>
      <w:r w:rsid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pokazatelja. Primjerice, standardizirana vrijednost pokazatelja od 90 govori da je ona za 1</w:t>
      </w:r>
      <w:r w:rsidR="004906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906DB" w:rsidRPr="004906DB">
        <w:rPr>
          <w:rFonts w:ascii="Times New Roman" w:hAnsi="Times New Roman" w:cs="Times New Roman"/>
          <w:b w:val="0"/>
          <w:bCs w:val="0"/>
          <w:sz w:val="24"/>
          <w:szCs w:val="24"/>
        </w:rPr>
        <w:t>standardnu devijaciju manja od prosječne vrijednosti tog pokazatelja.</w:t>
      </w:r>
    </w:p>
    <w:p w14:paraId="78916BD0" w14:textId="045E9BF1" w:rsidR="008702F0" w:rsidRPr="00D82562" w:rsidRDefault="008702F0" w:rsidP="008702F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8702F0">
        <w:rPr>
          <w:rFonts w:ascii="Times New Roman" w:hAnsi="Times New Roman" w:cs="Times New Roman"/>
          <w:b w:val="0"/>
          <w:bCs w:val="0"/>
          <w:sz w:val="24"/>
          <w:szCs w:val="24"/>
        </w:rPr>
        <w:t>Agregacija</w:t>
      </w:r>
      <w:proofErr w:type="spellEnd"/>
      <w:r w:rsidRPr="008702F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ranije izračunatih </w:t>
      </w:r>
      <w:r w:rsidRPr="008702F0">
        <w:rPr>
          <w:rFonts w:ascii="Times New Roman" w:hAnsi="Times New Roman" w:cs="Times New Roman"/>
          <w:b w:val="0"/>
          <w:bCs w:val="0"/>
          <w:sz w:val="24"/>
          <w:szCs w:val="24"/>
        </w:rPr>
        <w:t>standardiziranih vrijednosti pokazatelja u kompozitni indeks izvodi se pomoću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8702F0">
        <w:rPr>
          <w:rFonts w:ascii="Times New Roman" w:hAnsi="Times New Roman" w:cs="Times New Roman"/>
          <w:b w:val="0"/>
          <w:bCs w:val="0"/>
          <w:sz w:val="24"/>
          <w:szCs w:val="24"/>
        </w:rPr>
        <w:t>aritmetičke sredine skupa standardiziranih vrijednosti pokazatelja za dan</w:t>
      </w:r>
      <w:r w:rsidR="00544B5F">
        <w:rPr>
          <w:rFonts w:ascii="Times New Roman" w:hAnsi="Times New Roman" w:cs="Times New Roman"/>
          <w:b w:val="0"/>
          <w:bCs w:val="0"/>
          <w:sz w:val="24"/>
          <w:szCs w:val="24"/>
        </w:rPr>
        <w:t>o geogra</w:t>
      </w:r>
      <w:r w:rsidR="00291F4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fsko područje </w:t>
      </w:r>
      <w:r w:rsidRPr="008702F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i koeficijenta 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penalizacije:</w:t>
      </w:r>
    </w:p>
    <w:p w14:paraId="7F7F551D" w14:textId="69881FB8" w:rsidR="005C44AF" w:rsidRPr="00D82562" w:rsidRDefault="00000000" w:rsidP="005C44A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MPI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zi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±(</m:t>
          </m:r>
          <m:sSub>
            <m:sSub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zi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 xml:space="preserve">* </m:t>
          </m:r>
          <m:sSub>
            <m:sSub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cv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)</m:t>
          </m:r>
        </m:oMath>
      </m:oMathPara>
    </w:p>
    <w:p w14:paraId="6ABDBBF0" w14:textId="1505183B" w:rsidR="005C44AF" w:rsidRPr="00D82562" w:rsidRDefault="005C44AF" w:rsidP="005C44A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gdje je</w:t>
      </w:r>
    </w:p>
    <w:p w14:paraId="0BDFE5CB" w14:textId="3E5D0D23" w:rsidR="005C44AF" w:rsidRPr="00D82562" w:rsidRDefault="00000000" w:rsidP="005C44A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MPI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5C44AF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</w:t>
      </w:r>
      <w:proofErr w:type="spellStart"/>
      <w:r w:rsidR="0023389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Maziotta-Pareto</w:t>
      </w:r>
      <w:proofErr w:type="spellEnd"/>
      <w:r w:rsidR="0023389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indeks</w:t>
      </w:r>
      <w:r w:rsidR="005C44AF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(balansirani z-</w:t>
      </w:r>
      <w:proofErr w:type="spellStart"/>
      <w:r w:rsidR="005C44AF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="005C44AF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)</w:t>
      </w:r>
    </w:p>
    <w:p w14:paraId="277F5D09" w14:textId="0F5A8BBA" w:rsidR="005C44AF" w:rsidRPr="00D82562" w:rsidRDefault="00000000" w:rsidP="005C44A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zi</m:t>
            </m:r>
          </m:sub>
        </m:sSub>
      </m:oMath>
      <w:r w:rsidR="005C44AF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prosječna vrijednost standardiziranih vrijednosti svih pokazatelja za </w:t>
      </w:r>
      <w:r w:rsidR="00291F46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dano geografsko područje</w:t>
      </w:r>
      <w:r w:rsidR="00B84F16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, a računa se prema sljedećoj formuli</w:t>
      </w:r>
      <w:r w:rsidR="00A0293E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B84F16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zi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</m:oMath>
      <w:r w:rsidR="00B84F16" w:rsidRPr="00D82562"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j=1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sup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  <m:sSub>
                  <m:sSubPr>
                    <m:ctrlPr>
                      <w:rPr>
                        <w:rFonts w:ascii="Cambria Math" w:hAnsi="Cambria Math" w:cs="Times New Roman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w:softHyphen/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ij</m:t>
                    </m:r>
                  </m:sub>
                </m:sSub>
              </m:e>
            </m:nary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</m:t>
            </m:r>
          </m:den>
        </m:f>
      </m:oMath>
    </w:p>
    <w:p w14:paraId="5C20F643" w14:textId="13837EC0" w:rsidR="005C44AF" w:rsidRPr="00D82562" w:rsidRDefault="00000000" w:rsidP="005C44A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zi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* </m:t>
            </m:r>
            <m:sSub>
              <m:sSubPr>
                <m:ctrlPr>
                  <w:rPr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</m:oMath>
      <w:r w:rsidR="005C44AF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– koeficijent penalizacije</w:t>
      </w:r>
    </w:p>
    <w:p w14:paraId="114AE764" w14:textId="69F50122" w:rsidR="005C44AF" w:rsidRPr="00D82562" w:rsidRDefault="00000000" w:rsidP="00A0293E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zi</m:t>
            </m:r>
          </m:sub>
        </m:sSub>
      </m:oMath>
      <w:r w:rsidR="005C44AF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standardna devijacija skupa standardiziranih vrijednosti svih pokazatelja za </w:t>
      </w:r>
      <w:r w:rsidR="00291F46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dano geografsko područje</w:t>
      </w:r>
      <w:r w:rsidR="00A0293E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, a računa se prema sljedećoj formuli: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zi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b w:val="0"/>
                  <w:bCs w:val="0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b w:val="0"/>
                      <w:bCs w:val="0"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j=1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 w:val="0"/>
                              <w:bCs w:val="0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 w:val="0"/>
                                  <w:bCs w:val="0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z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ij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 w:val="0"/>
                                  <w:bCs w:val="0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zi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14:paraId="25440B3B" w14:textId="4B2B6D9A" w:rsidR="00291F46" w:rsidRPr="00D82562" w:rsidRDefault="00000000" w:rsidP="00291F4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cv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5C44AF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koeficijent varijacije skupa standardiziranih vrijednosti svih pokazatelja za </w:t>
      </w:r>
      <w:r w:rsidR="00291F46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dano geografsko područje</w:t>
      </w:r>
      <w:r w:rsidR="00D12350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a računa se prema sljedećoj </w:t>
      </w:r>
      <w:r w:rsidR="004946F1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formuli </w:t>
      </w:r>
      <m:oMath>
        <m:sSub>
          <m:sSub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cv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</m:oMath>
      <w:r w:rsidR="004946F1" w:rsidRPr="00D82562"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zi</m:t>
                </m:r>
              </m:sub>
            </m:sSub>
          </m:den>
        </m:f>
      </m:oMath>
    </w:p>
    <w:p w14:paraId="1BC5AB15" w14:textId="64B304A7" w:rsidR="008F5BB9" w:rsidRDefault="005C44AF" w:rsidP="005C44A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Koeficijent penalizacije je korektivni faktor vrijednosti aritmetičke sredine skupa</w:t>
      </w:r>
      <w:r w:rsidR="008F5BB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standardiziranih vrijednosti promatranih pokazatelja kojim se opisuje stupanj razvijenosti</w:t>
      </w:r>
      <w:r w:rsidR="008F5BB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91F46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određenog geografskog područja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. Svrha koeficijenta penalizacije je korigirati, odnosno</w:t>
      </w:r>
      <w:r w:rsidR="008F5BB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umanjiti prosječan z-</w:t>
      </w:r>
      <w:proofErr w:type="spellStart"/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onim </w:t>
      </w:r>
      <w:r w:rsidR="00CD26CB">
        <w:rPr>
          <w:rFonts w:ascii="Times New Roman" w:hAnsi="Times New Roman" w:cs="Times New Roman"/>
          <w:b w:val="0"/>
          <w:bCs w:val="0"/>
          <w:sz w:val="24"/>
          <w:szCs w:val="24"/>
        </w:rPr>
        <w:t>geografskim područjima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koj</w:t>
      </w:r>
      <w:r w:rsidR="00CD26CB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imaju „nebalansiran“ set</w:t>
      </w:r>
      <w:r w:rsidR="008F5BB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pokazatelja, odnosno </w:t>
      </w:r>
      <w:r w:rsidR="00CD26CB">
        <w:rPr>
          <w:rFonts w:ascii="Times New Roman" w:hAnsi="Times New Roman" w:cs="Times New Roman"/>
          <w:b w:val="0"/>
          <w:bCs w:val="0"/>
          <w:sz w:val="24"/>
          <w:szCs w:val="24"/>
        </w:rPr>
        <w:t>onim geografskim područjima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koj</w:t>
      </w:r>
      <w:r w:rsidR="00CD26CB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prema nekim pokazateljima</w:t>
      </w:r>
      <w:r w:rsidR="008F5BB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ostvaruju dobre, a prema drugim loše rezultate. Veličina koeficijenta penalizacije</w:t>
      </w:r>
      <w:r w:rsidR="008F5BB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proporcionalna je koeficijentu varijacije standardiziranih vrijednosti seta pokazatelja za da</w:t>
      </w:r>
      <w:r w:rsidR="00CD26CB">
        <w:rPr>
          <w:rFonts w:ascii="Times New Roman" w:hAnsi="Times New Roman" w:cs="Times New Roman"/>
          <w:b w:val="0"/>
          <w:bCs w:val="0"/>
          <w:sz w:val="24"/>
          <w:szCs w:val="24"/>
        </w:rPr>
        <w:t>no geografsko područje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, što znači da koeficijent penalizacije raste s porastom razlika</w:t>
      </w:r>
      <w:r w:rsidR="008F5BB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između standardiziranih vrijednosti pokazatelja</w:t>
      </w:r>
      <w:r w:rsidR="001605D9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. Ova metodologija u potpunosti rješava problem supstitucije između</w:t>
      </w:r>
      <w:r w:rsidR="00D12350" w:rsidRPr="00D82562">
        <w:rPr>
          <w:b w:val="0"/>
          <w:bCs w:val="0"/>
        </w:rPr>
        <w:t xml:space="preserve"> </w:t>
      </w:r>
      <w:r w:rsidR="00D12350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loših i dobrih vrijednosti pokazatelja, a s tim u vezi i problem dominantnog utjecaja standardiziranih vrijednosti pokazatelja s visokim stupnjem varijacije na konačnu vrijednost indeksa koji postoji u postojećem modelu. Također, balansirana z-</w:t>
      </w:r>
      <w:proofErr w:type="spellStart"/>
      <w:r w:rsidR="00D12350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>score</w:t>
      </w:r>
      <w:proofErr w:type="spellEnd"/>
      <w:r w:rsidR="00D12350" w:rsidRPr="00D825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metoda prevladava potrebu za korištenjem pondera, a samim time otklanja i sva ograničenja izračuna indeksa razvijenosti koja iz njih proizlaze</w:t>
      </w:r>
      <w:r w:rsidR="004C0D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</w:t>
      </w:r>
      <w:proofErr w:type="spellStart"/>
      <w:r w:rsidR="004C0D02">
        <w:rPr>
          <w:rFonts w:ascii="Times New Roman" w:hAnsi="Times New Roman" w:cs="Times New Roman"/>
          <w:b w:val="0"/>
          <w:bCs w:val="0"/>
          <w:sz w:val="24"/>
          <w:szCs w:val="24"/>
        </w:rPr>
        <w:t>Denona</w:t>
      </w:r>
      <w:proofErr w:type="spellEnd"/>
      <w:r w:rsidR="004C0D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Bogović, </w:t>
      </w:r>
      <w:proofErr w:type="spellStart"/>
      <w:r w:rsidR="004C0D02">
        <w:rPr>
          <w:rFonts w:ascii="Times New Roman" w:hAnsi="Times New Roman" w:cs="Times New Roman"/>
          <w:b w:val="0"/>
          <w:bCs w:val="0"/>
          <w:sz w:val="24"/>
          <w:szCs w:val="24"/>
        </w:rPr>
        <w:t>Drezgić</w:t>
      </w:r>
      <w:proofErr w:type="spellEnd"/>
      <w:r w:rsidR="004C0D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 </w:t>
      </w:r>
      <w:proofErr w:type="spellStart"/>
      <w:r w:rsidR="004C0D02">
        <w:rPr>
          <w:rFonts w:ascii="Times New Roman" w:hAnsi="Times New Roman" w:cs="Times New Roman"/>
          <w:b w:val="0"/>
          <w:bCs w:val="0"/>
          <w:sz w:val="24"/>
          <w:szCs w:val="24"/>
        </w:rPr>
        <w:t>Čegar</w:t>
      </w:r>
      <w:proofErr w:type="spellEnd"/>
      <w:r w:rsidR="004C0D02">
        <w:rPr>
          <w:rFonts w:ascii="Times New Roman" w:hAnsi="Times New Roman" w:cs="Times New Roman"/>
          <w:b w:val="0"/>
          <w:bCs w:val="0"/>
          <w:sz w:val="24"/>
          <w:szCs w:val="24"/>
        </w:rPr>
        <w:t>, 2017).</w:t>
      </w:r>
    </w:p>
    <w:p w14:paraId="037E354A" w14:textId="77777777" w:rsidR="001B2E3C" w:rsidRDefault="001B2E3C" w:rsidP="005C44A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2C65CD3" w14:textId="4CAC27C3" w:rsidR="004C0D02" w:rsidRDefault="004E513C" w:rsidP="005C44A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Literatura:</w:t>
      </w:r>
    </w:p>
    <w:p w14:paraId="6F965CF0" w14:textId="4942B422" w:rsidR="00DB3B96" w:rsidRDefault="00DB3B96" w:rsidP="00F30EE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Denona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Bogo</w:t>
      </w:r>
      <w:r w:rsidR="00DF3B8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vić, N., </w:t>
      </w:r>
      <w:proofErr w:type="spellStart"/>
      <w:r w:rsidR="002D285E">
        <w:rPr>
          <w:rFonts w:ascii="Times New Roman" w:hAnsi="Times New Roman" w:cs="Times New Roman"/>
          <w:b w:val="0"/>
          <w:bCs w:val="0"/>
          <w:sz w:val="24"/>
          <w:szCs w:val="24"/>
        </w:rPr>
        <w:t>Drezgić</w:t>
      </w:r>
      <w:proofErr w:type="spellEnd"/>
      <w:r w:rsidR="002D285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S. i </w:t>
      </w:r>
      <w:proofErr w:type="spellStart"/>
      <w:r w:rsidR="002D285E">
        <w:rPr>
          <w:rFonts w:ascii="Times New Roman" w:hAnsi="Times New Roman" w:cs="Times New Roman"/>
          <w:b w:val="0"/>
          <w:bCs w:val="0"/>
          <w:sz w:val="24"/>
          <w:szCs w:val="24"/>
        </w:rPr>
        <w:t>Čegar</w:t>
      </w:r>
      <w:proofErr w:type="spellEnd"/>
      <w:r w:rsidR="002D285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S. (2017). </w:t>
      </w:r>
      <w:r w:rsidR="00F30EEE" w:rsidRPr="00B86593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Evaluacija postojećeg i prijedlog novog modela za izračun indeksa te izračun novog indeksa razvijenosti jedinica lokalne i područne samouprave u Republici Hrvatskoj</w:t>
      </w:r>
      <w:r w:rsidR="00F30EEE">
        <w:rPr>
          <w:rFonts w:ascii="Times New Roman" w:hAnsi="Times New Roman" w:cs="Times New Roman"/>
          <w:b w:val="0"/>
          <w:bCs w:val="0"/>
          <w:sz w:val="24"/>
          <w:szCs w:val="24"/>
        </w:rPr>
        <w:t>. Rijeka: Ekonomski fakultet Sveučilišta u Rijeci i CLER</w:t>
      </w:r>
      <w:r w:rsidR="003D5B3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F30EE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d.o.o. </w:t>
      </w:r>
    </w:p>
    <w:p w14:paraId="3C937FFC" w14:textId="557A0ADD" w:rsidR="00AE04EA" w:rsidRDefault="00AE04EA" w:rsidP="00AE04E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Nicoletti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G.,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Scarpetta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i</w:t>
      </w:r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Boylaud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O. (2000)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Summary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indicators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of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product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market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regulation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an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extension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to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employment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protection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legislation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AE04E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OECD, </w:t>
      </w:r>
      <w:proofErr w:type="spellStart"/>
      <w:r w:rsidRPr="00AE04E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Economics</w:t>
      </w:r>
      <w:proofErr w:type="spellEnd"/>
      <w:r w:rsidRPr="00AE04E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department</w:t>
      </w:r>
      <w:proofErr w:type="spellEnd"/>
      <w:r w:rsidRPr="00AE04E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working</w:t>
      </w:r>
      <w:proofErr w:type="spellEnd"/>
      <w:r w:rsidRPr="00AE04E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Pr="00AE04EA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papers</w:t>
      </w:r>
      <w:proofErr w:type="spellEnd"/>
      <w:r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D81AD4" w:rsidRPr="00D81AD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81AD4" w:rsidRPr="00AE04EA">
        <w:rPr>
          <w:rFonts w:ascii="Times New Roman" w:hAnsi="Times New Roman" w:cs="Times New Roman"/>
          <w:b w:val="0"/>
          <w:bCs w:val="0"/>
          <w:sz w:val="24"/>
          <w:szCs w:val="24"/>
        </w:rPr>
        <w:t>No. 226, ECO/WKP(99)18</w:t>
      </w:r>
      <w:r w:rsidR="00D81AD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="00D14597">
        <w:rPr>
          <w:rFonts w:ascii="Times New Roman" w:hAnsi="Times New Roman" w:cs="Times New Roman"/>
          <w:b w:val="0"/>
          <w:bCs w:val="0"/>
          <w:sz w:val="24"/>
          <w:szCs w:val="24"/>
        </w:rPr>
        <w:t>1-86</w:t>
      </w:r>
      <w:r w:rsidR="00D81AD4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257E9D00" w14:textId="26CFD71F" w:rsidR="00B86593" w:rsidRDefault="0056260D" w:rsidP="001B2E3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OECD (2008). </w:t>
      </w:r>
      <w:proofErr w:type="spellStart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Handbook</w:t>
      </w:r>
      <w:proofErr w:type="spellEnd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on </w:t>
      </w:r>
      <w:proofErr w:type="spellStart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Constructing</w:t>
      </w:r>
      <w:proofErr w:type="spellEnd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Composite</w:t>
      </w:r>
      <w:proofErr w:type="spellEnd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Indicators</w:t>
      </w:r>
      <w:proofErr w:type="spellEnd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: </w:t>
      </w:r>
      <w:proofErr w:type="spellStart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Methodology</w:t>
      </w:r>
      <w:proofErr w:type="spellEnd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and</w:t>
      </w:r>
      <w:proofErr w:type="spellEnd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User</w:t>
      </w:r>
      <w:proofErr w:type="spellEnd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="00B86593" w:rsidRPr="00BD33A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Guide</w:t>
      </w:r>
      <w:proofErr w:type="spellEnd"/>
      <w:r w:rsidR="00B8659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Paris: </w:t>
      </w:r>
      <w:r w:rsidR="00BD33A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OECD </w:t>
      </w:r>
      <w:proofErr w:type="spellStart"/>
      <w:r w:rsidR="00BD33A5">
        <w:rPr>
          <w:rFonts w:ascii="Times New Roman" w:hAnsi="Times New Roman" w:cs="Times New Roman"/>
          <w:b w:val="0"/>
          <w:bCs w:val="0"/>
          <w:sz w:val="24"/>
          <w:szCs w:val="24"/>
        </w:rPr>
        <w:t>Publications</w:t>
      </w:r>
      <w:proofErr w:type="spellEnd"/>
      <w:r w:rsidR="00BD33A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400282EB" w14:textId="474B0EAB" w:rsidR="004E513C" w:rsidRPr="00D82562" w:rsidRDefault="001B2E3C" w:rsidP="001B2E3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Perišić, A. i Wagner, V.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2015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). </w:t>
      </w:r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Development index: </w:t>
      </w:r>
      <w:proofErr w:type="spellStart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analysis</w:t>
      </w:r>
      <w:proofErr w:type="spellEnd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of</w:t>
      </w:r>
      <w:proofErr w:type="spellEnd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basic</w:t>
      </w:r>
      <w:proofErr w:type="spellEnd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instrument </w:t>
      </w:r>
      <w:proofErr w:type="spellStart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of</w:t>
      </w:r>
      <w:proofErr w:type="spellEnd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Croatian </w:t>
      </w:r>
      <w:proofErr w:type="spellStart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regional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policy</w:t>
      </w:r>
      <w:proofErr w:type="spellEnd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1B2E3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Financial </w:t>
      </w:r>
      <w:proofErr w:type="spellStart"/>
      <w:r w:rsidRPr="001B2E3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Theory</w:t>
      </w:r>
      <w:proofErr w:type="spellEnd"/>
      <w:r w:rsidRPr="001B2E3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Pr="001B2E3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and</w:t>
      </w:r>
      <w:proofErr w:type="spellEnd"/>
      <w:r w:rsidRPr="001B2E3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proofErr w:type="spellStart"/>
      <w:r w:rsidRPr="001B2E3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Practice</w:t>
      </w:r>
      <w:proofErr w:type="spellEnd"/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39 (2)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Pr="001B2E3C">
        <w:rPr>
          <w:rFonts w:ascii="Times New Roman" w:hAnsi="Times New Roman" w:cs="Times New Roman"/>
          <w:b w:val="0"/>
          <w:bCs w:val="0"/>
          <w:sz w:val="24"/>
          <w:szCs w:val="24"/>
        </w:rPr>
        <w:t>205-236.</w:t>
      </w:r>
    </w:p>
    <w:sectPr w:rsidR="004E513C" w:rsidRPr="00D82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31D18"/>
    <w:multiLevelType w:val="hybridMultilevel"/>
    <w:tmpl w:val="8438C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536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21B"/>
    <w:rsid w:val="00017640"/>
    <w:rsid w:val="000464D3"/>
    <w:rsid w:val="00096498"/>
    <w:rsid w:val="000A7256"/>
    <w:rsid w:val="001605D9"/>
    <w:rsid w:val="00165267"/>
    <w:rsid w:val="001B2E3C"/>
    <w:rsid w:val="001B4BBA"/>
    <w:rsid w:val="002013C2"/>
    <w:rsid w:val="00233899"/>
    <w:rsid w:val="00255C97"/>
    <w:rsid w:val="00291F46"/>
    <w:rsid w:val="002B5EAE"/>
    <w:rsid w:val="002D285E"/>
    <w:rsid w:val="002D68F7"/>
    <w:rsid w:val="002D73D0"/>
    <w:rsid w:val="002E1BB3"/>
    <w:rsid w:val="002F7057"/>
    <w:rsid w:val="00371439"/>
    <w:rsid w:val="003B52F3"/>
    <w:rsid w:val="003D330A"/>
    <w:rsid w:val="003D5B3D"/>
    <w:rsid w:val="0041354D"/>
    <w:rsid w:val="00420574"/>
    <w:rsid w:val="00425E06"/>
    <w:rsid w:val="004322EC"/>
    <w:rsid w:val="00446943"/>
    <w:rsid w:val="004861F1"/>
    <w:rsid w:val="004906DB"/>
    <w:rsid w:val="004946F1"/>
    <w:rsid w:val="004C0D02"/>
    <w:rsid w:val="004E37FC"/>
    <w:rsid w:val="004E513C"/>
    <w:rsid w:val="00514209"/>
    <w:rsid w:val="00544B5F"/>
    <w:rsid w:val="0056260D"/>
    <w:rsid w:val="00567947"/>
    <w:rsid w:val="005732A3"/>
    <w:rsid w:val="00574930"/>
    <w:rsid w:val="005A1C3F"/>
    <w:rsid w:val="005C44AF"/>
    <w:rsid w:val="005E4DCA"/>
    <w:rsid w:val="006343B6"/>
    <w:rsid w:val="00636340"/>
    <w:rsid w:val="00686A30"/>
    <w:rsid w:val="0072721B"/>
    <w:rsid w:val="00744037"/>
    <w:rsid w:val="0078189E"/>
    <w:rsid w:val="007D5543"/>
    <w:rsid w:val="007D5F0C"/>
    <w:rsid w:val="00803341"/>
    <w:rsid w:val="00815E6A"/>
    <w:rsid w:val="00846372"/>
    <w:rsid w:val="00864B2F"/>
    <w:rsid w:val="008702F0"/>
    <w:rsid w:val="008A44FD"/>
    <w:rsid w:val="008C324B"/>
    <w:rsid w:val="008F5BB9"/>
    <w:rsid w:val="00910C73"/>
    <w:rsid w:val="009805CA"/>
    <w:rsid w:val="00980BA9"/>
    <w:rsid w:val="009B08E0"/>
    <w:rsid w:val="009D0E97"/>
    <w:rsid w:val="009D7C8F"/>
    <w:rsid w:val="00A0293E"/>
    <w:rsid w:val="00A10D36"/>
    <w:rsid w:val="00A11881"/>
    <w:rsid w:val="00A4472E"/>
    <w:rsid w:val="00A65988"/>
    <w:rsid w:val="00A853A2"/>
    <w:rsid w:val="00AA7B1B"/>
    <w:rsid w:val="00AD4316"/>
    <w:rsid w:val="00AE04EA"/>
    <w:rsid w:val="00AE0E74"/>
    <w:rsid w:val="00AE7747"/>
    <w:rsid w:val="00B475CD"/>
    <w:rsid w:val="00B62B01"/>
    <w:rsid w:val="00B84F16"/>
    <w:rsid w:val="00B86593"/>
    <w:rsid w:val="00BD33A5"/>
    <w:rsid w:val="00C833DF"/>
    <w:rsid w:val="00CD26CB"/>
    <w:rsid w:val="00D12350"/>
    <w:rsid w:val="00D14597"/>
    <w:rsid w:val="00D47C6F"/>
    <w:rsid w:val="00D81AD4"/>
    <w:rsid w:val="00D82562"/>
    <w:rsid w:val="00D8672F"/>
    <w:rsid w:val="00D92E8B"/>
    <w:rsid w:val="00DA0D5B"/>
    <w:rsid w:val="00DB15B7"/>
    <w:rsid w:val="00DB29B4"/>
    <w:rsid w:val="00DB3B96"/>
    <w:rsid w:val="00DC009B"/>
    <w:rsid w:val="00DC6F49"/>
    <w:rsid w:val="00DD7AEE"/>
    <w:rsid w:val="00DE1527"/>
    <w:rsid w:val="00DE3FFD"/>
    <w:rsid w:val="00DF3B86"/>
    <w:rsid w:val="00DF49C1"/>
    <w:rsid w:val="00E103B7"/>
    <w:rsid w:val="00E24497"/>
    <w:rsid w:val="00E33C6D"/>
    <w:rsid w:val="00E75B4F"/>
    <w:rsid w:val="00EB5237"/>
    <w:rsid w:val="00EB6FDF"/>
    <w:rsid w:val="00F27707"/>
    <w:rsid w:val="00F30EEE"/>
    <w:rsid w:val="00FB5F1F"/>
    <w:rsid w:val="00FC2F64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EEC5"/>
  <w15:chartTrackingRefBased/>
  <w15:docId w15:val="{22F6BA02-713F-4427-A3E9-AFA666E3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b/>
        <w:bCs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5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D5F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2375</Words>
  <Characters>13540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Šimac</dc:creator>
  <cp:keywords/>
  <dc:description/>
  <cp:lastModifiedBy>Tijana Trako Poljak</cp:lastModifiedBy>
  <cp:revision>102</cp:revision>
  <dcterms:created xsi:type="dcterms:W3CDTF">2020-12-16T11:34:00Z</dcterms:created>
  <dcterms:modified xsi:type="dcterms:W3CDTF">2024-11-08T14:23:00Z</dcterms:modified>
</cp:coreProperties>
</file>